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jc w:val="center"/>
        <w:rPr>
          <w:rFonts w:eastAsia="黑体"/>
          <w:b/>
          <w:sz w:val="36"/>
          <w:szCs w:val="36"/>
        </w:rPr>
      </w:pPr>
      <w:r>
        <w:rPr>
          <w:rFonts w:hint="eastAsia" w:ascii="Calibri" w:hAnsi="Calibri" w:eastAsia="黑体" w:cs="Times New Roman"/>
          <w:b/>
          <w:sz w:val="36"/>
          <w:szCs w:val="36"/>
        </w:rPr>
        <w:t>泌尿外科 “</w:t>
      </w:r>
      <w:r>
        <w:rPr>
          <w:rFonts w:hint="eastAsia" w:eastAsia="黑体"/>
          <w:b/>
          <w:sz w:val="36"/>
          <w:szCs w:val="36"/>
        </w:rPr>
        <w:t>输尿管软镜球形电极</w:t>
      </w:r>
      <w:r>
        <w:rPr>
          <w:rFonts w:hint="eastAsia" w:ascii="Calibri" w:hAnsi="Calibri" w:eastAsia="黑体" w:cs="Times New Roman"/>
          <w:b/>
          <w:sz w:val="36"/>
          <w:szCs w:val="36"/>
        </w:rPr>
        <w:t>”</w:t>
      </w:r>
      <w:r>
        <w:rPr>
          <w:rFonts w:ascii="Calibri" w:hAnsi="Calibri" w:eastAsia="黑体" w:cs="Times New Roman"/>
          <w:b/>
          <w:sz w:val="36"/>
          <w:szCs w:val="36"/>
        </w:rPr>
        <w:t>招标需</w:t>
      </w:r>
      <w:r>
        <w:rPr>
          <w:rFonts w:hint="eastAsia" w:ascii="Calibri" w:hAnsi="Calibri" w:eastAsia="黑体" w:cs="Times New Roman"/>
          <w:b/>
          <w:sz w:val="36"/>
          <w:szCs w:val="36"/>
        </w:rPr>
        <w:t>求一览</w:t>
      </w:r>
      <w:r>
        <w:rPr>
          <w:rFonts w:ascii="Calibri" w:hAnsi="Calibri" w:eastAsia="黑体" w:cs="Times New Roman"/>
          <w:b/>
          <w:sz w:val="36"/>
          <w:szCs w:val="36"/>
        </w:rPr>
        <w:t>表</w:t>
      </w:r>
    </w:p>
    <w:tbl>
      <w:tblPr>
        <w:tblStyle w:val="3"/>
        <w:tblW w:w="9668" w:type="dxa"/>
        <w:jc w:val="center"/>
        <w:tblInd w:w="4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0"/>
        <w:gridCol w:w="5107"/>
        <w:gridCol w:w="22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360" w:type="dxa"/>
            <w:vAlign w:val="center"/>
          </w:tcPr>
          <w:p>
            <w:pPr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产品主要用途</w:t>
            </w:r>
          </w:p>
        </w:tc>
        <w:tc>
          <w:tcPr>
            <w:tcW w:w="7308" w:type="dxa"/>
            <w:gridSpan w:val="2"/>
            <w:vAlign w:val="center"/>
          </w:tcPr>
          <w:p>
            <w:pPr>
              <w:spacing w:line="320" w:lineRule="exact"/>
              <w:jc w:val="left"/>
              <w:rPr>
                <w:rFonts w:ascii="华文中宋" w:hAnsi="华文中宋" w:eastAsia="华文中宋" w:cs="华文中宋"/>
                <w:bCs/>
                <w:sz w:val="24"/>
                <w:szCs w:val="24"/>
              </w:rPr>
            </w:pPr>
            <w:r>
              <w:rPr>
                <w:rFonts w:hint="eastAsia" w:eastAsia="楷体_GB2312"/>
                <w:b/>
                <w:szCs w:val="28"/>
              </w:rPr>
              <w:t>用于输尿管及肾结石手术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360" w:type="dxa"/>
            <w:vAlign w:val="center"/>
          </w:tcPr>
          <w:p>
            <w:pPr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安装场地</w:t>
            </w:r>
          </w:p>
        </w:tc>
        <w:tc>
          <w:tcPr>
            <w:tcW w:w="7308" w:type="dxa"/>
            <w:gridSpan w:val="2"/>
            <w:vAlign w:val="center"/>
          </w:tcPr>
          <w:p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eastAsia="楷体_GB2312"/>
                <w:b/>
                <w:szCs w:val="28"/>
              </w:rPr>
              <w:t>手术室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360" w:type="dxa"/>
            <w:vAlign w:val="center"/>
          </w:tcPr>
          <w:p>
            <w:pPr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使用环境</w:t>
            </w:r>
          </w:p>
        </w:tc>
        <w:tc>
          <w:tcPr>
            <w:tcW w:w="7308" w:type="dxa"/>
            <w:gridSpan w:val="2"/>
            <w:vAlign w:val="center"/>
          </w:tcPr>
          <w:p>
            <w:pPr>
              <w:spacing w:line="320" w:lineRule="exact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</w:rPr>
              <w:t>温度、</w:t>
            </w:r>
            <w:r>
              <w:rPr>
                <w:rFonts w:hint="eastAsia"/>
                <w:b/>
                <w:sz w:val="24"/>
              </w:rPr>
              <w:t>湿度</w:t>
            </w:r>
            <w:r>
              <w:rPr>
                <w:rFonts w:hint="eastAsia" w:ascii="Calibri" w:hAnsi="Calibri" w:eastAsia="楷体_GB2312" w:cs="Times New Roman"/>
                <w:b/>
                <w:szCs w:val="28"/>
              </w:rPr>
              <w:t>无特殊要求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8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技术参数要求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2360" w:type="dxa"/>
            <w:vAlign w:val="center"/>
          </w:tcPr>
          <w:p>
            <w:pPr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主要配置名称</w:t>
            </w:r>
          </w:p>
        </w:tc>
        <w:tc>
          <w:tcPr>
            <w:tcW w:w="7308" w:type="dxa"/>
            <w:gridSpan w:val="2"/>
            <w:vAlign w:val="center"/>
          </w:tcPr>
          <w:p>
            <w:pPr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具体性能与参数要求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0" w:type="dxa"/>
            <w:vAlign w:val="center"/>
          </w:tcPr>
          <w:p>
            <w:pPr>
              <w:spacing w:line="320" w:lineRule="exact"/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ascii="Calibri" w:hAnsi="Calibri" w:eastAsia="宋体" w:cs="Times New Roman"/>
                <w:b/>
                <w:sz w:val="24"/>
              </w:rPr>
              <w:t>硬件配置</w:t>
            </w:r>
          </w:p>
        </w:tc>
        <w:tc>
          <w:tcPr>
            <w:tcW w:w="7308" w:type="dxa"/>
            <w:gridSpan w:val="2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  <w:t>★1、能够在输尿管软镜下进行组织凝血，止血。</w:t>
            </w:r>
          </w:p>
          <w:p>
            <w:pPr>
              <w:widowControl/>
              <w:spacing w:line="320" w:lineRule="exact"/>
              <w:jc w:val="left"/>
              <w:rPr>
                <w:rFonts w:ascii="宋体" w:hAnsi="宋体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  <w:t>★2、最大直径：≤3Fr，长度≥110cm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设备配置清单</w:t>
            </w:r>
          </w:p>
        </w:tc>
        <w:tc>
          <w:tcPr>
            <w:tcW w:w="2201" w:type="dxa"/>
            <w:vAlign w:val="center"/>
          </w:tcPr>
          <w:p>
            <w:pPr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  <w:t>输尿管软镜球形电极</w:t>
            </w:r>
          </w:p>
        </w:tc>
        <w:tc>
          <w:tcPr>
            <w:tcW w:w="220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  <w:jc w:val="center"/>
        </w:trPr>
        <w:tc>
          <w:tcPr>
            <w:tcW w:w="96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 xml:space="preserve">备注： 1、带“★”符号项目为必须满足指标，若出现一项负偏离，则视为废标      </w:t>
            </w:r>
          </w:p>
          <w:p>
            <w:pPr>
              <w:ind w:firstLine="843" w:firstLineChars="350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2、带“▲”符号项目为重要指标，若出现三项及以上负偏离，则视为废标</w:t>
            </w:r>
          </w:p>
          <w:p>
            <w:pPr>
              <w:ind w:firstLine="843" w:firstLineChars="350"/>
              <w:rPr>
                <w:rFonts w:ascii="楷体_GB2312" w:hAnsi="宋体" w:eastAsia="楷体_GB2312"/>
                <w:b/>
                <w:sz w:val="36"/>
                <w:szCs w:val="36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3、其他项目为一般指标，若出现五项及以上负偏离，则视为废标</w:t>
            </w:r>
          </w:p>
        </w:tc>
      </w:tr>
    </w:tbl>
    <w:p>
      <w:pPr>
        <w:rPr>
          <w:rFonts w:hint="eastAsia" w:ascii="楷体" w:hAnsi="楷体" w:eastAsia="楷体" w:cs="楷体"/>
          <w:b/>
          <w:bCs/>
          <w:sz w:val="24"/>
        </w:rPr>
      </w:pPr>
    </w:p>
    <w:p>
      <w:r>
        <w:rPr>
          <w:rFonts w:hint="eastAsia" w:ascii="楷体" w:hAnsi="楷体" w:eastAsia="楷体" w:cs="楷体"/>
          <w:b/>
          <w:bCs/>
          <w:sz w:val="24"/>
        </w:rPr>
        <w:t>科室主任：                                                科室代表：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Menlo Regular">
    <w:altName w:val="Arial"/>
    <w:panose1 w:val="00000000000000000000"/>
    <w:charset w:val="00"/>
    <w:family w:val="auto"/>
    <w:pitch w:val="default"/>
    <w:sig w:usb0="00000000" w:usb1="00000000" w:usb2="02000028" w:usb3="00000000" w:csb0="000001D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BE1AE8"/>
    <w:rsid w:val="5A0D675B"/>
    <w:rsid w:val="5FBE1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8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2018-12-13T09:11:00Z</dcterms:created>
  <dc:creator>wuxuan</dc:creator>
  <cp:lastModifiedBy>cgzx</cp:lastModifiedBy>
  <dcterms:modified xsi:type="dcterms:W3CDTF">2019-01-31T02:07:34Z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